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2A" w:rsidRDefault="00BA382A" w:rsidP="00BA382A">
      <w:pPr>
        <w:jc w:val="center"/>
        <w:rPr>
          <w:i/>
          <w:sz w:val="24"/>
          <w:szCs w:val="24"/>
        </w:rPr>
      </w:pPr>
      <w:r w:rsidRPr="00BA382A">
        <w:rPr>
          <w:b/>
          <w:i/>
          <w:sz w:val="32"/>
          <w:szCs w:val="32"/>
        </w:rPr>
        <w:t>INCREASE LIMIT AUTOMOBILE SOUND AND ELECTRONIC COM</w:t>
      </w:r>
      <w:r>
        <w:rPr>
          <w:b/>
          <w:i/>
          <w:sz w:val="32"/>
          <w:szCs w:val="32"/>
        </w:rPr>
        <w:t xml:space="preserve">MUNICATION EQUIPMENT ENDORSEMENT </w:t>
      </w:r>
      <w:r>
        <w:rPr>
          <w:b/>
          <w:i/>
          <w:sz w:val="32"/>
          <w:szCs w:val="32"/>
        </w:rPr>
        <w:br/>
      </w:r>
      <w:r w:rsidRPr="00BA382A">
        <w:rPr>
          <w:i/>
          <w:sz w:val="24"/>
          <w:szCs w:val="24"/>
        </w:rPr>
        <w:t>(A.S.E.F #38, FOR USE IN ATLANTIC PROVINCES)</w:t>
      </w:r>
    </w:p>
    <w:p w:rsidR="00BA382A" w:rsidRDefault="00BA382A" w:rsidP="00BA382A">
      <w:pPr>
        <w:rPr>
          <w:sz w:val="20"/>
          <w:szCs w:val="20"/>
        </w:rPr>
      </w:pPr>
      <w:r>
        <w:rPr>
          <w:sz w:val="20"/>
          <w:szCs w:val="20"/>
        </w:rPr>
        <w:t xml:space="preserve">It is understood and agreed that, in the event of loss of or damage to the equipment described below caused by theft or attempted theft, the liability of the insurer shall not exceed the limit of liability shown herein or the actual cash value of the described equipment, whichever is the lesser.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778"/>
        <w:gridCol w:w="1985"/>
        <w:gridCol w:w="1813"/>
      </w:tblGrid>
      <w:tr w:rsidR="00BA382A" w:rsidTr="00BA382A">
        <w:tc>
          <w:tcPr>
            <w:tcW w:w="5778" w:type="dxa"/>
          </w:tcPr>
          <w:p w:rsidR="00BA382A" w:rsidRPr="00BA382A" w:rsidRDefault="00BA382A" w:rsidP="00BA382A">
            <w:pPr>
              <w:rPr>
                <w:b/>
                <w:sz w:val="20"/>
                <w:szCs w:val="20"/>
              </w:rPr>
            </w:pPr>
            <w:r w:rsidRPr="00BA382A">
              <w:rPr>
                <w:b/>
                <w:sz w:val="20"/>
                <w:szCs w:val="20"/>
              </w:rPr>
              <w:t>Description of Equipment</w:t>
            </w:r>
          </w:p>
        </w:tc>
        <w:tc>
          <w:tcPr>
            <w:tcW w:w="1985" w:type="dxa"/>
          </w:tcPr>
          <w:p w:rsidR="00BA382A" w:rsidRPr="00BA382A" w:rsidRDefault="00BA382A" w:rsidP="00BA382A">
            <w:pPr>
              <w:rPr>
                <w:b/>
                <w:sz w:val="20"/>
                <w:szCs w:val="20"/>
              </w:rPr>
            </w:pPr>
            <w:r w:rsidRPr="00BA382A">
              <w:rPr>
                <w:b/>
                <w:sz w:val="20"/>
                <w:szCs w:val="20"/>
              </w:rPr>
              <w:t>Limit of Liability</w:t>
            </w:r>
            <w:r>
              <w:rPr>
                <w:b/>
                <w:sz w:val="20"/>
                <w:szCs w:val="20"/>
              </w:rPr>
              <w:t xml:space="preserve"> ($)</w:t>
            </w:r>
          </w:p>
        </w:tc>
        <w:tc>
          <w:tcPr>
            <w:tcW w:w="1813" w:type="dxa"/>
          </w:tcPr>
          <w:p w:rsidR="00BA382A" w:rsidRPr="00BA382A" w:rsidRDefault="00BA382A" w:rsidP="00BA382A">
            <w:pPr>
              <w:rPr>
                <w:b/>
                <w:sz w:val="20"/>
                <w:szCs w:val="20"/>
              </w:rPr>
            </w:pPr>
            <w:r w:rsidRPr="00BA382A">
              <w:rPr>
                <w:b/>
                <w:sz w:val="20"/>
                <w:szCs w:val="20"/>
              </w:rPr>
              <w:t>Premium</w:t>
            </w:r>
            <w:r>
              <w:rPr>
                <w:b/>
                <w:sz w:val="20"/>
                <w:szCs w:val="20"/>
              </w:rPr>
              <w:t xml:space="preserve"> ($)</w:t>
            </w:r>
          </w:p>
        </w:tc>
      </w:tr>
      <w:tr w:rsidR="00BA382A" w:rsidTr="00BA382A">
        <w:tc>
          <w:tcPr>
            <w:tcW w:w="5778" w:type="dxa"/>
          </w:tcPr>
          <w:p w:rsidR="00BA382A" w:rsidRDefault="00BA382A" w:rsidP="00BA382A">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985" w:type="dxa"/>
          </w:tcPr>
          <w:p w:rsidR="00BA382A" w:rsidRDefault="00BA382A" w:rsidP="00BA382A">
            <w:pPr>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813" w:type="dxa"/>
          </w:tcPr>
          <w:p w:rsidR="00BA382A" w:rsidRDefault="00BA382A" w:rsidP="00BA382A">
            <w:pPr>
              <w:rPr>
                <w:sz w:val="20"/>
                <w:szCs w:val="20"/>
              </w:rPr>
            </w:pPr>
            <w:r>
              <w:rPr>
                <w:sz w:val="20"/>
                <w:szCs w:val="20"/>
              </w:rPr>
              <w:fldChar w:fldCharType="begin">
                <w:ffData>
                  <w:name w:val="Text7"/>
                  <w:enabled/>
                  <w:calcOnExit w:val="0"/>
                  <w:textInput/>
                </w:ffData>
              </w:fldChar>
            </w:r>
            <w:bookmarkStart w:id="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BA382A" w:rsidTr="00BA382A">
        <w:tc>
          <w:tcPr>
            <w:tcW w:w="5778" w:type="dxa"/>
          </w:tcPr>
          <w:p w:rsidR="00BA382A" w:rsidRDefault="00BA382A" w:rsidP="00BA382A">
            <w:pPr>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985" w:type="dxa"/>
          </w:tcPr>
          <w:p w:rsidR="00BA382A" w:rsidRDefault="00BA382A" w:rsidP="00BA382A">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813" w:type="dxa"/>
          </w:tcPr>
          <w:p w:rsidR="00BA382A" w:rsidRDefault="00BA382A" w:rsidP="00BA382A">
            <w:pPr>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BA382A" w:rsidTr="00BA382A">
        <w:tc>
          <w:tcPr>
            <w:tcW w:w="5778" w:type="dxa"/>
            <w:tcBorders>
              <w:bottom w:val="single" w:sz="4" w:space="0" w:color="auto"/>
            </w:tcBorders>
          </w:tcPr>
          <w:p w:rsidR="00BA382A" w:rsidRDefault="00BA382A" w:rsidP="00BA382A">
            <w:pPr>
              <w:rPr>
                <w:sz w:val="20"/>
                <w:szCs w:val="20"/>
              </w:rPr>
            </w:pPr>
            <w:r>
              <w:rPr>
                <w:sz w:val="20"/>
                <w:szCs w:val="20"/>
              </w:rPr>
              <w:fldChar w:fldCharType="begin">
                <w:ffData>
                  <w:name w:val="Text3"/>
                  <w:enabled/>
                  <w:calcOnExit w:val="0"/>
                  <w:textInput/>
                </w:ffData>
              </w:fldChar>
            </w:r>
            <w:bookmarkStart w:id="6"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985" w:type="dxa"/>
            <w:tcBorders>
              <w:bottom w:val="single" w:sz="4" w:space="0" w:color="auto"/>
            </w:tcBorders>
          </w:tcPr>
          <w:p w:rsidR="00BA382A" w:rsidRDefault="00BA382A" w:rsidP="00BA382A">
            <w:pPr>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813" w:type="dxa"/>
          </w:tcPr>
          <w:p w:rsidR="00BA382A" w:rsidRDefault="00BA382A" w:rsidP="00BA382A">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A382A" w:rsidTr="00BA382A">
        <w:tc>
          <w:tcPr>
            <w:tcW w:w="5778" w:type="dxa"/>
            <w:tcBorders>
              <w:top w:val="single" w:sz="4" w:space="0" w:color="auto"/>
              <w:bottom w:val="nil"/>
              <w:right w:val="nil"/>
            </w:tcBorders>
          </w:tcPr>
          <w:p w:rsidR="00BA382A" w:rsidRDefault="00BA382A" w:rsidP="00BA382A">
            <w:pPr>
              <w:rPr>
                <w:sz w:val="20"/>
                <w:szCs w:val="20"/>
              </w:rPr>
            </w:pPr>
          </w:p>
        </w:tc>
        <w:tc>
          <w:tcPr>
            <w:tcW w:w="1985" w:type="dxa"/>
            <w:tcBorders>
              <w:top w:val="single" w:sz="4" w:space="0" w:color="auto"/>
              <w:left w:val="nil"/>
              <w:bottom w:val="nil"/>
            </w:tcBorders>
          </w:tcPr>
          <w:p w:rsidR="00BA382A" w:rsidRPr="00BA382A" w:rsidRDefault="00BA382A" w:rsidP="00BA382A">
            <w:pPr>
              <w:jc w:val="right"/>
              <w:rPr>
                <w:b/>
                <w:sz w:val="20"/>
                <w:szCs w:val="20"/>
              </w:rPr>
            </w:pPr>
            <w:r w:rsidRPr="00BA382A">
              <w:rPr>
                <w:b/>
                <w:sz w:val="20"/>
                <w:szCs w:val="20"/>
              </w:rPr>
              <w:t>Total Premium ($)</w:t>
            </w:r>
          </w:p>
        </w:tc>
        <w:tc>
          <w:tcPr>
            <w:tcW w:w="1813" w:type="dxa"/>
          </w:tcPr>
          <w:p w:rsidR="00BA382A" w:rsidRDefault="00BA382A" w:rsidP="00BA382A">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rsidR="00BA382A" w:rsidRDefault="00BA382A" w:rsidP="00BA382A">
      <w:pPr>
        <w:rPr>
          <w:sz w:val="20"/>
          <w:szCs w:val="20"/>
        </w:rPr>
      </w:pPr>
      <w:r>
        <w:rPr>
          <w:sz w:val="20"/>
          <w:szCs w:val="20"/>
        </w:rPr>
        <w:t xml:space="preserve">In the event of theft or attempted theft of automobile should and/or electronic communication equipment other than factory installed equipment or equipment described above, the insurer shall not be liable for more than $1,500 in total, the actual cash value of the equipment, or the actual cash value of the automobile including its equipment, whichever is the lesser. </w:t>
      </w:r>
    </w:p>
    <w:p w:rsidR="00BA382A" w:rsidRDefault="00BA382A" w:rsidP="00BA382A">
      <w:pPr>
        <w:rPr>
          <w:sz w:val="20"/>
          <w:szCs w:val="20"/>
        </w:rPr>
      </w:pPr>
      <w:r>
        <w:rPr>
          <w:sz w:val="20"/>
          <w:szCs w:val="20"/>
        </w:rPr>
        <w:t>Sound and/or electronic communication equipment included radios, tape players/decks, stereo players/decks, compact disc players, speakers, telephones, cellular telephones, CB radio</w:t>
      </w:r>
      <w:r w:rsidR="003C6E4D">
        <w:rPr>
          <w:sz w:val="20"/>
          <w:szCs w:val="20"/>
        </w:rPr>
        <w:t>s, ham radios, televisions, facsimile machines, computers and items of a similar nature.</w:t>
      </w:r>
    </w:p>
    <w:p w:rsidR="003C6E4D" w:rsidRDefault="003C6E4D" w:rsidP="00BA382A">
      <w:pPr>
        <w:rPr>
          <w:sz w:val="20"/>
          <w:szCs w:val="20"/>
        </w:rPr>
      </w:pPr>
      <w:r>
        <w:rPr>
          <w:sz w:val="20"/>
          <w:szCs w:val="20"/>
        </w:rPr>
        <w:t>For the purpose of this endorsement, factory installed equipment means sound and/ or electronic communication equipment which was included in the original new purchase price of the automobile.</w:t>
      </w:r>
    </w:p>
    <w:p w:rsidR="003C6E4D" w:rsidRDefault="003C6E4D" w:rsidP="00BA382A">
      <w:pPr>
        <w:rPr>
          <w:sz w:val="20"/>
          <w:szCs w:val="20"/>
        </w:rPr>
      </w:pPr>
      <w:r>
        <w:rPr>
          <w:sz w:val="20"/>
          <w:szCs w:val="20"/>
        </w:rPr>
        <w:t xml:space="preserve">If more than one automobile is insured under this Policy, this endorsement shall apply only to the automobile(s) described as item(s) number </w:t>
      </w: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 xml:space="preserve"> of the schedule of automobiles attached to and forming part of this policy.</w:t>
      </w:r>
    </w:p>
    <w:p w:rsidR="003C6E4D" w:rsidRDefault="003C6E4D" w:rsidP="00BA382A">
      <w:pPr>
        <w:rPr>
          <w:sz w:val="20"/>
          <w:szCs w:val="20"/>
        </w:rPr>
      </w:pPr>
    </w:p>
    <w:p w:rsidR="003C6E4D" w:rsidRDefault="003C6E4D" w:rsidP="00BA382A">
      <w:pPr>
        <w:rPr>
          <w:sz w:val="20"/>
          <w:szCs w:val="20"/>
        </w:rPr>
      </w:pPr>
      <w:r>
        <w:rPr>
          <w:sz w:val="20"/>
          <w:szCs w:val="20"/>
        </w:rPr>
        <w:t xml:space="preserve">Signature of Insured: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w:t>
      </w:r>
      <w:r>
        <w:rPr>
          <w:sz w:val="20"/>
          <w:szCs w:val="20"/>
        </w:rPr>
        <w:tab/>
      </w:r>
      <w:r>
        <w:rPr>
          <w:sz w:val="20"/>
          <w:szCs w:val="20"/>
        </w:rPr>
        <w:tab/>
      </w:r>
      <w:r>
        <w:rPr>
          <w:sz w:val="20"/>
          <w:szCs w:val="20"/>
        </w:rPr>
        <w:tab/>
        <w:t>Date</w:t>
      </w:r>
      <w:proofErr w:type="gramStart"/>
      <w:r>
        <w:rPr>
          <w:sz w:val="20"/>
          <w:szCs w:val="20"/>
        </w:rPr>
        <w:t>:_</w:t>
      </w:r>
      <w:proofErr w:type="gramEnd"/>
      <w:r>
        <w:rPr>
          <w:sz w:val="20"/>
          <w:szCs w:val="20"/>
        </w:rPr>
        <w:t>________________</w:t>
      </w:r>
    </w:p>
    <w:p w:rsidR="003C6E4D" w:rsidRDefault="003C6E4D" w:rsidP="00BA382A">
      <w:pPr>
        <w:rPr>
          <w:sz w:val="20"/>
          <w:szCs w:val="20"/>
        </w:rPr>
      </w:pPr>
    </w:p>
    <w:tbl>
      <w:tblPr>
        <w:tblStyle w:val="TableGrid"/>
        <w:tblW w:w="0" w:type="auto"/>
        <w:tblLook w:val="04A0"/>
      </w:tblPr>
      <w:tblGrid>
        <w:gridCol w:w="5778"/>
        <w:gridCol w:w="3798"/>
      </w:tblGrid>
      <w:tr w:rsidR="003C6E4D" w:rsidTr="003C6E4D">
        <w:tc>
          <w:tcPr>
            <w:tcW w:w="9576" w:type="dxa"/>
            <w:gridSpan w:val="2"/>
          </w:tcPr>
          <w:p w:rsidR="003C6E4D" w:rsidRDefault="003C6E4D" w:rsidP="00BA382A">
            <w:pPr>
              <w:rPr>
                <w:sz w:val="20"/>
                <w:szCs w:val="20"/>
              </w:rPr>
            </w:pPr>
            <w:r>
              <w:rPr>
                <w:sz w:val="20"/>
                <w:szCs w:val="20"/>
              </w:rPr>
              <w:t>Except as otherwise provided in this endorsement, all limits, terms, conditions, provisions, definitions and exclusions of the policy shall have full force and effect.</w:t>
            </w:r>
          </w:p>
        </w:tc>
      </w:tr>
      <w:tr w:rsidR="003C6E4D" w:rsidTr="003C6E4D">
        <w:tc>
          <w:tcPr>
            <w:tcW w:w="5778" w:type="dxa"/>
          </w:tcPr>
          <w:p w:rsidR="003C6E4D" w:rsidRDefault="003C6E4D" w:rsidP="00BA382A">
            <w:pPr>
              <w:rPr>
                <w:sz w:val="20"/>
                <w:szCs w:val="20"/>
              </w:rPr>
            </w:pPr>
            <w:r>
              <w:rPr>
                <w:sz w:val="20"/>
                <w:szCs w:val="20"/>
              </w:rPr>
              <w:t xml:space="preserve">Attached to and forming part of the Policy #: </w:t>
            </w: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798" w:type="dxa"/>
          </w:tcPr>
          <w:p w:rsidR="003C6E4D" w:rsidRDefault="003C6E4D" w:rsidP="00BA382A">
            <w:pPr>
              <w:rPr>
                <w:sz w:val="20"/>
                <w:szCs w:val="20"/>
              </w:rPr>
            </w:pPr>
            <w:r>
              <w:rPr>
                <w:sz w:val="20"/>
                <w:szCs w:val="20"/>
              </w:rPr>
              <w:t xml:space="preserve">Of </w:t>
            </w: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3C6E4D" w:rsidTr="003C6E4D">
        <w:tc>
          <w:tcPr>
            <w:tcW w:w="5778" w:type="dxa"/>
          </w:tcPr>
          <w:p w:rsidR="003C6E4D" w:rsidRDefault="003C6E4D" w:rsidP="00BA382A">
            <w:pPr>
              <w:rPr>
                <w:sz w:val="20"/>
                <w:szCs w:val="20"/>
              </w:rPr>
            </w:pPr>
            <w:r>
              <w:rPr>
                <w:sz w:val="20"/>
                <w:szCs w:val="20"/>
              </w:rPr>
              <w:t xml:space="preserve">Issued to: </w:t>
            </w:r>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798" w:type="dxa"/>
          </w:tcPr>
          <w:p w:rsidR="003C6E4D" w:rsidRDefault="003C6E4D" w:rsidP="00BA382A">
            <w:pPr>
              <w:rPr>
                <w:sz w:val="20"/>
                <w:szCs w:val="20"/>
              </w:rPr>
            </w:pPr>
            <w:r>
              <w:rPr>
                <w:sz w:val="20"/>
                <w:szCs w:val="20"/>
              </w:rPr>
              <w:t xml:space="preserve">By Broker: </w:t>
            </w:r>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3C6E4D" w:rsidTr="0006313E">
        <w:tc>
          <w:tcPr>
            <w:tcW w:w="9576" w:type="dxa"/>
            <w:gridSpan w:val="2"/>
          </w:tcPr>
          <w:p w:rsidR="003C6E4D" w:rsidRDefault="003C6E4D" w:rsidP="00BA382A">
            <w:pPr>
              <w:rPr>
                <w:sz w:val="20"/>
                <w:szCs w:val="20"/>
              </w:rPr>
            </w:pPr>
            <w:r>
              <w:rPr>
                <w:sz w:val="20"/>
                <w:szCs w:val="20"/>
              </w:rPr>
              <w:t xml:space="preserve">This endorsement shall be effective from </w:t>
            </w: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12:01 A.M Standard Time. </w:t>
            </w:r>
          </w:p>
        </w:tc>
      </w:tr>
    </w:tbl>
    <w:p w:rsidR="003C6E4D" w:rsidRPr="00BA382A" w:rsidRDefault="003C6E4D" w:rsidP="00BA382A">
      <w:pPr>
        <w:rPr>
          <w:sz w:val="20"/>
          <w:szCs w:val="20"/>
        </w:rPr>
      </w:pPr>
    </w:p>
    <w:sectPr w:rsidR="003C6E4D" w:rsidRPr="00BA382A"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2A" w:rsidRDefault="00BA382A" w:rsidP="00BA382A">
      <w:pPr>
        <w:spacing w:after="0" w:line="240" w:lineRule="auto"/>
      </w:pPr>
      <w:r>
        <w:separator/>
      </w:r>
    </w:p>
  </w:endnote>
  <w:endnote w:type="continuationSeparator" w:id="0">
    <w:p w:rsidR="00BA382A" w:rsidRDefault="00BA382A" w:rsidP="00BA3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2A" w:rsidRDefault="00BA382A" w:rsidP="00BA382A">
      <w:pPr>
        <w:spacing w:after="0" w:line="240" w:lineRule="auto"/>
      </w:pPr>
      <w:r>
        <w:separator/>
      </w:r>
    </w:p>
  </w:footnote>
  <w:footnote w:type="continuationSeparator" w:id="0">
    <w:p w:rsidR="00BA382A" w:rsidRDefault="00BA382A" w:rsidP="00BA3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2A" w:rsidRDefault="00BA382A">
    <w:pPr>
      <w:pStyle w:val="Header"/>
    </w:pPr>
    <w:r w:rsidRPr="00BA382A">
      <w:drawing>
        <wp:inline distT="0" distB="0" distL="0" distR="0">
          <wp:extent cx="5943600" cy="582567"/>
          <wp:effectExtent l="19050" t="0" r="0" b="0"/>
          <wp:docPr id="4"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BA382A">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BA382A" w:rsidRDefault="00BA38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0eP8ReIz7ly0mlMu2b2EWKR98=" w:salt="XthR4sU7NH/BvzivJbUsQA=="/>
  <w:defaultTabStop w:val="720"/>
  <w:characterSpacingControl w:val="doNotCompress"/>
  <w:hdrShapeDefaults>
    <o:shapedefaults v:ext="edit" spidmax="2049"/>
  </w:hdrShapeDefaults>
  <w:footnotePr>
    <w:footnote w:id="-1"/>
    <w:footnote w:id="0"/>
  </w:footnotePr>
  <w:endnotePr>
    <w:endnote w:id="-1"/>
    <w:endnote w:id="0"/>
  </w:endnotePr>
  <w:compat/>
  <w:rsids>
    <w:rsidRoot w:val="00BA382A"/>
    <w:rsid w:val="003C6E4D"/>
    <w:rsid w:val="005F6D38"/>
    <w:rsid w:val="00862505"/>
    <w:rsid w:val="009C731E"/>
    <w:rsid w:val="00BA382A"/>
    <w:rsid w:val="00CF3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2A"/>
  </w:style>
  <w:style w:type="paragraph" w:styleId="Footer">
    <w:name w:val="footer"/>
    <w:basedOn w:val="Normal"/>
    <w:link w:val="FooterChar"/>
    <w:uiPriority w:val="99"/>
    <w:semiHidden/>
    <w:unhideWhenUsed/>
    <w:rsid w:val="00BA3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82A"/>
  </w:style>
  <w:style w:type="paragraph" w:styleId="BalloonText">
    <w:name w:val="Balloon Text"/>
    <w:basedOn w:val="Normal"/>
    <w:link w:val="BalloonTextChar"/>
    <w:uiPriority w:val="99"/>
    <w:semiHidden/>
    <w:unhideWhenUsed/>
    <w:rsid w:val="00BA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2A"/>
    <w:rPr>
      <w:rFonts w:ascii="Tahoma" w:hAnsi="Tahoma" w:cs="Tahoma"/>
      <w:sz w:val="16"/>
      <w:szCs w:val="16"/>
    </w:rPr>
  </w:style>
  <w:style w:type="table" w:styleId="TableGrid">
    <w:name w:val="Table Grid"/>
    <w:basedOn w:val="TableNormal"/>
    <w:uiPriority w:val="59"/>
    <w:rsid w:val="00BA3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2017-03-01T14:16:00Z</dcterms:created>
  <dcterms:modified xsi:type="dcterms:W3CDTF">2017-03-01T14:35:00Z</dcterms:modified>
</cp:coreProperties>
</file>