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864FC0" w:rsidP="00463A64">
      <w:pPr>
        <w:jc w:val="center"/>
        <w:rPr>
          <w:i/>
          <w:sz w:val="24"/>
          <w:szCs w:val="24"/>
        </w:rPr>
      </w:pPr>
      <w:r>
        <w:rPr>
          <w:b/>
          <w:i/>
          <w:sz w:val="32"/>
          <w:szCs w:val="32"/>
        </w:rPr>
        <w:t xml:space="preserve">VALUED AUTOMOBILE(S) </w:t>
      </w:r>
      <w:r w:rsidR="00742D78">
        <w:rPr>
          <w:b/>
          <w:i/>
          <w:sz w:val="32"/>
          <w:szCs w:val="32"/>
        </w:rPr>
        <w:t xml:space="preserve">ENDORSEMENT </w:t>
      </w:r>
      <w:r>
        <w:rPr>
          <w:b/>
          <w:i/>
          <w:sz w:val="32"/>
          <w:szCs w:val="32"/>
        </w:rPr>
        <w:br/>
      </w:r>
      <w:r>
        <w:rPr>
          <w:i/>
          <w:sz w:val="24"/>
          <w:szCs w:val="24"/>
        </w:rPr>
        <w:t>(N.B.E.F #19A)</w:t>
      </w:r>
    </w:p>
    <w:p w:rsidR="00742D78" w:rsidRPr="00576C3A" w:rsidRDefault="00F503C1" w:rsidP="00F503C1">
      <w:pPr>
        <w:pStyle w:val="ListParagraph"/>
        <w:numPr>
          <w:ilvl w:val="0"/>
          <w:numId w:val="1"/>
        </w:numPr>
        <w:rPr>
          <w:b/>
          <w:sz w:val="20"/>
          <w:szCs w:val="20"/>
        </w:rPr>
      </w:pPr>
      <w:r>
        <w:rPr>
          <w:sz w:val="20"/>
          <w:szCs w:val="20"/>
        </w:rPr>
        <w:t>In consideration of the premium(s) shown below but only in respect to the subsection(s) of Section C of the Policy for which indemnity is provided, in the event of loss the Insurer agrees that the automobile(s) described below are valued and insured for, subject to any applicable deductible clause, the amount shown:</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tblPr>
      <w:tblGrid>
        <w:gridCol w:w="1308"/>
        <w:gridCol w:w="3297"/>
        <w:gridCol w:w="3081"/>
        <w:gridCol w:w="1530"/>
      </w:tblGrid>
      <w:tr w:rsidR="00576C3A" w:rsidRPr="00576C3A" w:rsidTr="009D2DDF">
        <w:tc>
          <w:tcPr>
            <w:tcW w:w="1308" w:type="dxa"/>
          </w:tcPr>
          <w:p w:rsidR="00576C3A" w:rsidRPr="00576C3A" w:rsidRDefault="00576C3A" w:rsidP="00F503C1">
            <w:pPr>
              <w:rPr>
                <w:b/>
                <w:sz w:val="20"/>
                <w:szCs w:val="20"/>
              </w:rPr>
            </w:pPr>
            <w:r w:rsidRPr="00576C3A">
              <w:rPr>
                <w:b/>
                <w:sz w:val="20"/>
                <w:szCs w:val="20"/>
              </w:rPr>
              <w:t>Year</w:t>
            </w:r>
          </w:p>
        </w:tc>
        <w:tc>
          <w:tcPr>
            <w:tcW w:w="3297" w:type="dxa"/>
          </w:tcPr>
          <w:p w:rsidR="00576C3A" w:rsidRPr="00576C3A" w:rsidRDefault="00576C3A" w:rsidP="00F503C1">
            <w:pPr>
              <w:rPr>
                <w:b/>
                <w:sz w:val="20"/>
                <w:szCs w:val="20"/>
              </w:rPr>
            </w:pPr>
            <w:r w:rsidRPr="00576C3A">
              <w:rPr>
                <w:b/>
                <w:sz w:val="20"/>
                <w:szCs w:val="20"/>
              </w:rPr>
              <w:t>Make</w:t>
            </w:r>
          </w:p>
        </w:tc>
        <w:tc>
          <w:tcPr>
            <w:tcW w:w="3081" w:type="dxa"/>
          </w:tcPr>
          <w:p w:rsidR="00576C3A" w:rsidRPr="00576C3A" w:rsidRDefault="00576C3A" w:rsidP="00F503C1">
            <w:pPr>
              <w:rPr>
                <w:b/>
                <w:sz w:val="20"/>
                <w:szCs w:val="20"/>
              </w:rPr>
            </w:pPr>
            <w:r w:rsidRPr="00576C3A">
              <w:rPr>
                <w:b/>
                <w:sz w:val="20"/>
                <w:szCs w:val="20"/>
              </w:rPr>
              <w:t xml:space="preserve">VIN # </w:t>
            </w:r>
          </w:p>
        </w:tc>
        <w:tc>
          <w:tcPr>
            <w:tcW w:w="1530" w:type="dxa"/>
          </w:tcPr>
          <w:p w:rsidR="00576C3A" w:rsidRPr="00576C3A" w:rsidRDefault="00576C3A" w:rsidP="00F503C1">
            <w:pPr>
              <w:rPr>
                <w:b/>
                <w:sz w:val="20"/>
                <w:szCs w:val="20"/>
              </w:rPr>
            </w:pPr>
            <w:r w:rsidRPr="00576C3A">
              <w:rPr>
                <w:b/>
                <w:sz w:val="20"/>
                <w:szCs w:val="20"/>
              </w:rPr>
              <w:t>Amount ($)</w:t>
            </w:r>
          </w:p>
        </w:tc>
      </w:tr>
      <w:tr w:rsidR="00576C3A" w:rsidTr="009D2DDF">
        <w:tc>
          <w:tcPr>
            <w:tcW w:w="1308" w:type="dxa"/>
          </w:tcPr>
          <w:p w:rsidR="00576C3A" w:rsidRDefault="00576C3A" w:rsidP="00F503C1">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3297"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81"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76C3A" w:rsidTr="009D2DDF">
        <w:tc>
          <w:tcPr>
            <w:tcW w:w="1308"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97"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81"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76C3A" w:rsidTr="009D2DDF">
        <w:tc>
          <w:tcPr>
            <w:tcW w:w="1308"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97"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81"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76C3A" w:rsidTr="009D2DDF">
        <w:tc>
          <w:tcPr>
            <w:tcW w:w="1308"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97"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81"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rsidR="00576C3A" w:rsidRDefault="00576C3A" w:rsidP="00F503C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503C1" w:rsidRDefault="00F503C1" w:rsidP="00F503C1">
      <w:pPr>
        <w:ind w:left="360"/>
        <w:rPr>
          <w:sz w:val="20"/>
          <w:szCs w:val="20"/>
        </w:rPr>
      </w:pPr>
    </w:p>
    <w:p w:rsidR="00576C3A" w:rsidRDefault="00576C3A" w:rsidP="00576C3A">
      <w:pPr>
        <w:pStyle w:val="ListParagraph"/>
        <w:numPr>
          <w:ilvl w:val="0"/>
          <w:numId w:val="1"/>
        </w:numPr>
        <w:rPr>
          <w:sz w:val="20"/>
          <w:szCs w:val="20"/>
        </w:rPr>
      </w:pPr>
      <w:r>
        <w:rPr>
          <w:sz w:val="20"/>
          <w:szCs w:val="20"/>
        </w:rPr>
        <w:t xml:space="preserve">Where the loss involving an automobile specified in paragraph 1 above is a partial loss only, the Insurer’s liability is limited to the cost of repair but such cost shall not exceed the limit specified in paragraph 1 </w:t>
      </w:r>
      <w:r w:rsidR="00474512">
        <w:rPr>
          <w:sz w:val="20"/>
          <w:szCs w:val="20"/>
        </w:rPr>
        <w:t xml:space="preserve">above with respect to the automobile. </w:t>
      </w:r>
    </w:p>
    <w:p w:rsidR="00474512" w:rsidRDefault="00474512" w:rsidP="00576C3A">
      <w:pPr>
        <w:pStyle w:val="ListParagraph"/>
        <w:numPr>
          <w:ilvl w:val="0"/>
          <w:numId w:val="1"/>
        </w:numPr>
        <w:rPr>
          <w:sz w:val="20"/>
          <w:szCs w:val="20"/>
        </w:rPr>
      </w:pPr>
      <w:r>
        <w:rPr>
          <w:sz w:val="20"/>
          <w:szCs w:val="20"/>
        </w:rPr>
        <w:t xml:space="preserve">If more than one automobile is insured under this policy </w:t>
      </w:r>
      <w:r w:rsidR="005F5923">
        <w:rPr>
          <w:sz w:val="20"/>
          <w:szCs w:val="20"/>
        </w:rPr>
        <w:t>and any such automobile is not insured on a value basis under this endorsement, this endorsement shall have no application thereto.</w:t>
      </w:r>
    </w:p>
    <w:p w:rsidR="005F5923" w:rsidRDefault="005F5923" w:rsidP="00576C3A">
      <w:pPr>
        <w:pStyle w:val="ListParagraph"/>
        <w:numPr>
          <w:ilvl w:val="0"/>
          <w:numId w:val="1"/>
        </w:numPr>
        <w:rPr>
          <w:sz w:val="20"/>
          <w:szCs w:val="20"/>
        </w:rPr>
      </w:pPr>
      <w:r>
        <w:rPr>
          <w:sz w:val="20"/>
          <w:szCs w:val="20"/>
        </w:rPr>
        <w:t xml:space="preserve">Where there is a loss under Section A1 of the Policy, “Direct Compensation- Property Damage” and the amount the Insured is entitled to receive under Section A1 (“Direct Compensation- Property Damage”) is less than what the Insured would be entitled to receive if paragraph 1 above had applied, the Insurer will pay the difference between the amounts. The Insurer will only pay the difference if All Perils or Collision of Upset coverage was purchased. </w:t>
      </w:r>
    </w:p>
    <w:p w:rsidR="005F5923" w:rsidRDefault="005F5923" w:rsidP="005F5923">
      <w:pPr>
        <w:rPr>
          <w:sz w:val="20"/>
          <w:szCs w:val="20"/>
        </w:rPr>
      </w:pPr>
      <w:r>
        <w:rPr>
          <w:sz w:val="20"/>
          <w:szCs w:val="20"/>
        </w:rPr>
        <w:t xml:space="preserve">The amount payable on any claim made under this coverage does not include the Direct Compensation- Property Damage deductible that applies to the claim. </w:t>
      </w:r>
    </w:p>
    <w:tbl>
      <w:tblPr>
        <w:tblStyle w:val="TableGrid"/>
        <w:tblW w:w="0" w:type="auto"/>
        <w:tblLayout w:type="fixed"/>
        <w:tblLook w:val="04A0"/>
      </w:tblPr>
      <w:tblGrid>
        <w:gridCol w:w="1242"/>
        <w:gridCol w:w="851"/>
        <w:gridCol w:w="3969"/>
        <w:gridCol w:w="2126"/>
        <w:gridCol w:w="1388"/>
      </w:tblGrid>
      <w:tr w:rsidR="005F5923" w:rsidTr="009D2DDF">
        <w:tc>
          <w:tcPr>
            <w:tcW w:w="2093" w:type="dxa"/>
            <w:gridSpan w:val="2"/>
            <w:tcBorders>
              <w:top w:val="nil"/>
              <w:left w:val="nil"/>
            </w:tcBorders>
          </w:tcPr>
          <w:p w:rsidR="005F5923" w:rsidRPr="005F5923" w:rsidRDefault="005F5923" w:rsidP="005F5923">
            <w:pPr>
              <w:rPr>
                <w:b/>
                <w:sz w:val="20"/>
                <w:szCs w:val="20"/>
              </w:rPr>
            </w:pPr>
            <w:r w:rsidRPr="005F5923">
              <w:rPr>
                <w:b/>
                <w:sz w:val="20"/>
                <w:szCs w:val="20"/>
              </w:rPr>
              <w:t>Insuring Agreements</w:t>
            </w:r>
          </w:p>
        </w:tc>
        <w:tc>
          <w:tcPr>
            <w:tcW w:w="3969" w:type="dxa"/>
            <w:tcBorders>
              <w:top w:val="nil"/>
            </w:tcBorders>
          </w:tcPr>
          <w:p w:rsidR="005F5923" w:rsidRPr="005F5923" w:rsidRDefault="005F5923" w:rsidP="005F5923">
            <w:pPr>
              <w:rPr>
                <w:b/>
                <w:sz w:val="20"/>
                <w:szCs w:val="20"/>
              </w:rPr>
            </w:pPr>
            <w:r w:rsidRPr="005F5923">
              <w:rPr>
                <w:b/>
                <w:sz w:val="20"/>
                <w:szCs w:val="20"/>
              </w:rPr>
              <w:t>Perils</w:t>
            </w:r>
          </w:p>
        </w:tc>
        <w:tc>
          <w:tcPr>
            <w:tcW w:w="2126" w:type="dxa"/>
            <w:tcBorders>
              <w:top w:val="nil"/>
            </w:tcBorders>
          </w:tcPr>
          <w:p w:rsidR="005F5923" w:rsidRPr="005F5923" w:rsidRDefault="005F5923" w:rsidP="005F5923">
            <w:pPr>
              <w:rPr>
                <w:b/>
                <w:sz w:val="20"/>
                <w:szCs w:val="20"/>
              </w:rPr>
            </w:pPr>
            <w:r w:rsidRPr="005F5923">
              <w:rPr>
                <w:b/>
                <w:sz w:val="20"/>
                <w:szCs w:val="20"/>
              </w:rPr>
              <w:t>Limits and Amounts</w:t>
            </w:r>
          </w:p>
        </w:tc>
        <w:tc>
          <w:tcPr>
            <w:tcW w:w="1388" w:type="dxa"/>
            <w:tcBorders>
              <w:top w:val="nil"/>
              <w:right w:val="nil"/>
            </w:tcBorders>
          </w:tcPr>
          <w:p w:rsidR="005F5923" w:rsidRPr="005F5923" w:rsidRDefault="005F5923" w:rsidP="005F5923">
            <w:pPr>
              <w:rPr>
                <w:b/>
                <w:sz w:val="20"/>
                <w:szCs w:val="20"/>
              </w:rPr>
            </w:pPr>
            <w:r w:rsidRPr="005F5923">
              <w:rPr>
                <w:b/>
                <w:sz w:val="20"/>
                <w:szCs w:val="20"/>
              </w:rPr>
              <w:t>Premium</w:t>
            </w:r>
            <w:r>
              <w:rPr>
                <w:b/>
                <w:sz w:val="20"/>
                <w:szCs w:val="20"/>
              </w:rPr>
              <w:t xml:space="preserve"> ($)</w:t>
            </w:r>
          </w:p>
        </w:tc>
      </w:tr>
      <w:tr w:rsidR="005F5923" w:rsidTr="009D2DDF">
        <w:tc>
          <w:tcPr>
            <w:tcW w:w="1242" w:type="dxa"/>
            <w:vMerge w:val="restart"/>
            <w:tcBorders>
              <w:left w:val="nil"/>
            </w:tcBorders>
          </w:tcPr>
          <w:p w:rsidR="005F5923" w:rsidRPr="005F5923" w:rsidRDefault="005F5923" w:rsidP="005F5923">
            <w:pPr>
              <w:jc w:val="center"/>
              <w:rPr>
                <w:sz w:val="20"/>
                <w:szCs w:val="20"/>
                <w:u w:val="single"/>
              </w:rPr>
            </w:pPr>
            <w:r w:rsidRPr="005F5923">
              <w:rPr>
                <w:sz w:val="20"/>
                <w:szCs w:val="20"/>
                <w:u w:val="single"/>
              </w:rPr>
              <w:t>Section C</w:t>
            </w:r>
          </w:p>
          <w:p w:rsidR="005F5923" w:rsidRDefault="005F5923" w:rsidP="005F5923">
            <w:pPr>
              <w:jc w:val="center"/>
              <w:rPr>
                <w:sz w:val="20"/>
                <w:szCs w:val="20"/>
              </w:rPr>
            </w:pPr>
            <w:r>
              <w:rPr>
                <w:sz w:val="20"/>
                <w:szCs w:val="20"/>
              </w:rPr>
              <w:t>Loss of or Damage to Insured Automobile</w:t>
            </w:r>
          </w:p>
        </w:tc>
        <w:tc>
          <w:tcPr>
            <w:tcW w:w="851" w:type="dxa"/>
          </w:tcPr>
          <w:p w:rsidR="005F5923" w:rsidRDefault="005F5923" w:rsidP="005F5923">
            <w:pPr>
              <w:jc w:val="center"/>
              <w:rPr>
                <w:sz w:val="20"/>
                <w:szCs w:val="20"/>
              </w:rPr>
            </w:pPr>
            <w:r>
              <w:rPr>
                <w:sz w:val="20"/>
                <w:szCs w:val="20"/>
              </w:rPr>
              <w:t>Sub Sec</w:t>
            </w:r>
          </w:p>
          <w:p w:rsidR="005F5923" w:rsidRDefault="005F5923" w:rsidP="005F5923">
            <w:pPr>
              <w:jc w:val="center"/>
              <w:rPr>
                <w:sz w:val="20"/>
                <w:szCs w:val="20"/>
              </w:rPr>
            </w:pPr>
            <w:r>
              <w:rPr>
                <w:sz w:val="20"/>
                <w:szCs w:val="20"/>
              </w:rPr>
              <w:t>1.</w:t>
            </w:r>
          </w:p>
        </w:tc>
        <w:tc>
          <w:tcPr>
            <w:tcW w:w="3969" w:type="dxa"/>
            <w:vAlign w:val="bottom"/>
          </w:tcPr>
          <w:p w:rsidR="005F5923" w:rsidRDefault="005F5923" w:rsidP="005F5923">
            <w:pPr>
              <w:rPr>
                <w:sz w:val="20"/>
                <w:szCs w:val="20"/>
              </w:rPr>
            </w:pPr>
            <w:r>
              <w:rPr>
                <w:sz w:val="20"/>
                <w:szCs w:val="20"/>
              </w:rPr>
              <w:t>All Perils</w:t>
            </w:r>
          </w:p>
        </w:tc>
        <w:tc>
          <w:tcPr>
            <w:tcW w:w="2126" w:type="dxa"/>
            <w:vMerge w:val="restart"/>
          </w:tcPr>
          <w:p w:rsidR="005F5923" w:rsidRDefault="005F5923" w:rsidP="005F5923">
            <w:pPr>
              <w:rPr>
                <w:sz w:val="20"/>
                <w:szCs w:val="20"/>
              </w:rPr>
            </w:pPr>
            <w:r>
              <w:rPr>
                <w:sz w:val="20"/>
                <w:szCs w:val="20"/>
              </w:rPr>
              <w:t xml:space="preserve">Amount deductible on each separate claim except for loss or damage by fire or lightning or theft of the entire automobile. </w:t>
            </w:r>
          </w:p>
        </w:tc>
        <w:tc>
          <w:tcPr>
            <w:tcW w:w="1388" w:type="dxa"/>
            <w:tcBorders>
              <w:right w:val="nil"/>
            </w:tcBorders>
          </w:tcPr>
          <w:p w:rsidR="005F5923" w:rsidRDefault="005F5923" w:rsidP="005F5923">
            <w:pPr>
              <w:rPr>
                <w:sz w:val="20"/>
                <w:szCs w:val="20"/>
              </w:rPr>
            </w:pPr>
          </w:p>
          <w:p w:rsidR="009D2DDF" w:rsidRDefault="009D2DDF" w:rsidP="005F5923">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5F5923" w:rsidTr="009D2DDF">
        <w:tc>
          <w:tcPr>
            <w:tcW w:w="1242" w:type="dxa"/>
            <w:vMerge/>
            <w:tcBorders>
              <w:left w:val="nil"/>
            </w:tcBorders>
          </w:tcPr>
          <w:p w:rsidR="005F5923" w:rsidRDefault="005F5923" w:rsidP="005F5923">
            <w:pPr>
              <w:rPr>
                <w:sz w:val="20"/>
                <w:szCs w:val="20"/>
              </w:rPr>
            </w:pPr>
          </w:p>
        </w:tc>
        <w:tc>
          <w:tcPr>
            <w:tcW w:w="851" w:type="dxa"/>
          </w:tcPr>
          <w:p w:rsidR="005F5923" w:rsidRDefault="005F5923" w:rsidP="005F5923">
            <w:pPr>
              <w:jc w:val="center"/>
              <w:rPr>
                <w:sz w:val="20"/>
                <w:szCs w:val="20"/>
              </w:rPr>
            </w:pPr>
            <w:r>
              <w:rPr>
                <w:sz w:val="20"/>
                <w:szCs w:val="20"/>
              </w:rPr>
              <w:t>2.</w:t>
            </w:r>
          </w:p>
        </w:tc>
        <w:tc>
          <w:tcPr>
            <w:tcW w:w="3969" w:type="dxa"/>
          </w:tcPr>
          <w:p w:rsidR="005F5923" w:rsidRDefault="005F5923" w:rsidP="005F5923">
            <w:pPr>
              <w:rPr>
                <w:sz w:val="20"/>
                <w:szCs w:val="20"/>
              </w:rPr>
            </w:pPr>
            <w:r>
              <w:rPr>
                <w:sz w:val="20"/>
                <w:szCs w:val="20"/>
              </w:rPr>
              <w:t>Collision or Upset</w:t>
            </w:r>
          </w:p>
        </w:tc>
        <w:tc>
          <w:tcPr>
            <w:tcW w:w="2126" w:type="dxa"/>
            <w:vMerge/>
          </w:tcPr>
          <w:p w:rsidR="005F5923" w:rsidRDefault="005F5923" w:rsidP="005F5923">
            <w:pPr>
              <w:rPr>
                <w:sz w:val="20"/>
                <w:szCs w:val="20"/>
              </w:rPr>
            </w:pPr>
          </w:p>
        </w:tc>
        <w:tc>
          <w:tcPr>
            <w:tcW w:w="1388" w:type="dxa"/>
            <w:tcBorders>
              <w:right w:val="nil"/>
            </w:tcBorders>
          </w:tcPr>
          <w:p w:rsidR="005F5923" w:rsidRDefault="009D2DDF" w:rsidP="005F5923">
            <w:pPr>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F5923" w:rsidTr="009D2DDF">
        <w:tc>
          <w:tcPr>
            <w:tcW w:w="1242" w:type="dxa"/>
            <w:vMerge/>
            <w:tcBorders>
              <w:left w:val="nil"/>
            </w:tcBorders>
          </w:tcPr>
          <w:p w:rsidR="005F5923" w:rsidRDefault="005F5923" w:rsidP="005F5923">
            <w:pPr>
              <w:rPr>
                <w:sz w:val="20"/>
                <w:szCs w:val="20"/>
              </w:rPr>
            </w:pPr>
          </w:p>
        </w:tc>
        <w:tc>
          <w:tcPr>
            <w:tcW w:w="851" w:type="dxa"/>
          </w:tcPr>
          <w:p w:rsidR="005F5923" w:rsidRDefault="005F5923" w:rsidP="005F5923">
            <w:pPr>
              <w:jc w:val="center"/>
              <w:rPr>
                <w:sz w:val="20"/>
                <w:szCs w:val="20"/>
              </w:rPr>
            </w:pPr>
            <w:r>
              <w:rPr>
                <w:sz w:val="20"/>
                <w:szCs w:val="20"/>
              </w:rPr>
              <w:t>3.</w:t>
            </w:r>
          </w:p>
        </w:tc>
        <w:tc>
          <w:tcPr>
            <w:tcW w:w="3969" w:type="dxa"/>
          </w:tcPr>
          <w:p w:rsidR="005F5923" w:rsidRDefault="005F5923" w:rsidP="005F5923">
            <w:pPr>
              <w:rPr>
                <w:sz w:val="20"/>
                <w:szCs w:val="20"/>
              </w:rPr>
            </w:pPr>
            <w:r>
              <w:rPr>
                <w:sz w:val="20"/>
                <w:szCs w:val="20"/>
              </w:rPr>
              <w:t>Comprehensive (excluding collision or upset)</w:t>
            </w:r>
          </w:p>
        </w:tc>
        <w:tc>
          <w:tcPr>
            <w:tcW w:w="2126" w:type="dxa"/>
            <w:vMerge/>
          </w:tcPr>
          <w:p w:rsidR="005F5923" w:rsidRDefault="005F5923" w:rsidP="005F5923">
            <w:pPr>
              <w:rPr>
                <w:sz w:val="20"/>
                <w:szCs w:val="20"/>
              </w:rPr>
            </w:pPr>
          </w:p>
        </w:tc>
        <w:tc>
          <w:tcPr>
            <w:tcW w:w="1388" w:type="dxa"/>
            <w:tcBorders>
              <w:right w:val="nil"/>
            </w:tcBorders>
          </w:tcPr>
          <w:p w:rsidR="005F5923" w:rsidRDefault="009D2DDF" w:rsidP="005F5923">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5F5923" w:rsidTr="009D2DDF">
        <w:tc>
          <w:tcPr>
            <w:tcW w:w="1242" w:type="dxa"/>
            <w:vMerge/>
            <w:tcBorders>
              <w:left w:val="nil"/>
              <w:bottom w:val="single" w:sz="4" w:space="0" w:color="auto"/>
            </w:tcBorders>
          </w:tcPr>
          <w:p w:rsidR="005F5923" w:rsidRDefault="005F5923" w:rsidP="005F5923">
            <w:pPr>
              <w:rPr>
                <w:sz w:val="20"/>
                <w:szCs w:val="20"/>
              </w:rPr>
            </w:pPr>
          </w:p>
        </w:tc>
        <w:tc>
          <w:tcPr>
            <w:tcW w:w="851" w:type="dxa"/>
            <w:tcBorders>
              <w:bottom w:val="single" w:sz="4" w:space="0" w:color="auto"/>
            </w:tcBorders>
          </w:tcPr>
          <w:p w:rsidR="005F5923" w:rsidRDefault="005F5923" w:rsidP="005F5923">
            <w:pPr>
              <w:jc w:val="center"/>
              <w:rPr>
                <w:sz w:val="20"/>
                <w:szCs w:val="20"/>
              </w:rPr>
            </w:pPr>
            <w:r>
              <w:rPr>
                <w:sz w:val="20"/>
                <w:szCs w:val="20"/>
              </w:rPr>
              <w:t>4.</w:t>
            </w:r>
          </w:p>
        </w:tc>
        <w:tc>
          <w:tcPr>
            <w:tcW w:w="3969" w:type="dxa"/>
            <w:tcBorders>
              <w:bottom w:val="single" w:sz="4" w:space="0" w:color="auto"/>
            </w:tcBorders>
          </w:tcPr>
          <w:p w:rsidR="005F5923" w:rsidRDefault="005F5923" w:rsidP="005F5923">
            <w:pPr>
              <w:rPr>
                <w:sz w:val="20"/>
                <w:szCs w:val="20"/>
              </w:rPr>
            </w:pPr>
            <w:r>
              <w:rPr>
                <w:sz w:val="20"/>
                <w:szCs w:val="20"/>
              </w:rPr>
              <w:t>Specified Perils (excluding collision or upset)</w:t>
            </w:r>
          </w:p>
        </w:tc>
        <w:tc>
          <w:tcPr>
            <w:tcW w:w="2126" w:type="dxa"/>
            <w:vMerge/>
            <w:tcBorders>
              <w:bottom w:val="single" w:sz="4" w:space="0" w:color="auto"/>
            </w:tcBorders>
          </w:tcPr>
          <w:p w:rsidR="005F5923" w:rsidRDefault="005F5923" w:rsidP="005F5923">
            <w:pPr>
              <w:rPr>
                <w:sz w:val="20"/>
                <w:szCs w:val="20"/>
              </w:rPr>
            </w:pPr>
          </w:p>
        </w:tc>
        <w:tc>
          <w:tcPr>
            <w:tcW w:w="1388" w:type="dxa"/>
            <w:tcBorders>
              <w:right w:val="nil"/>
            </w:tcBorders>
          </w:tcPr>
          <w:p w:rsidR="005F5923" w:rsidRDefault="009D2DDF" w:rsidP="005F5923">
            <w:pPr>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5F5923" w:rsidTr="009D2DDF">
        <w:tc>
          <w:tcPr>
            <w:tcW w:w="2093" w:type="dxa"/>
            <w:gridSpan w:val="2"/>
            <w:tcBorders>
              <w:left w:val="nil"/>
              <w:bottom w:val="nil"/>
              <w:right w:val="nil"/>
            </w:tcBorders>
          </w:tcPr>
          <w:p w:rsidR="005F5923" w:rsidRDefault="005F5923" w:rsidP="005F5923">
            <w:pPr>
              <w:rPr>
                <w:sz w:val="20"/>
                <w:szCs w:val="20"/>
              </w:rPr>
            </w:pPr>
          </w:p>
        </w:tc>
        <w:tc>
          <w:tcPr>
            <w:tcW w:w="3969" w:type="dxa"/>
            <w:tcBorders>
              <w:left w:val="nil"/>
              <w:bottom w:val="nil"/>
              <w:right w:val="nil"/>
            </w:tcBorders>
          </w:tcPr>
          <w:p w:rsidR="005F5923" w:rsidRDefault="005F5923" w:rsidP="005F5923">
            <w:pPr>
              <w:rPr>
                <w:sz w:val="20"/>
                <w:szCs w:val="20"/>
              </w:rPr>
            </w:pPr>
          </w:p>
        </w:tc>
        <w:tc>
          <w:tcPr>
            <w:tcW w:w="2126" w:type="dxa"/>
            <w:tcBorders>
              <w:left w:val="nil"/>
              <w:bottom w:val="nil"/>
            </w:tcBorders>
            <w:vAlign w:val="bottom"/>
          </w:tcPr>
          <w:p w:rsidR="005F5923" w:rsidRPr="009D2DDF" w:rsidRDefault="009D2DDF" w:rsidP="009D2DDF">
            <w:pPr>
              <w:jc w:val="right"/>
              <w:rPr>
                <w:b/>
                <w:sz w:val="20"/>
                <w:szCs w:val="20"/>
              </w:rPr>
            </w:pPr>
            <w:r w:rsidRPr="009D2DDF">
              <w:rPr>
                <w:b/>
                <w:sz w:val="20"/>
                <w:szCs w:val="20"/>
              </w:rPr>
              <w:t>Total</w:t>
            </w:r>
          </w:p>
        </w:tc>
        <w:tc>
          <w:tcPr>
            <w:tcW w:w="1388" w:type="dxa"/>
            <w:tcBorders>
              <w:bottom w:val="nil"/>
              <w:right w:val="nil"/>
            </w:tcBorders>
          </w:tcPr>
          <w:p w:rsidR="005F5923" w:rsidRDefault="009D2DDF" w:rsidP="005F5923">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rsidR="005F5923" w:rsidRDefault="005F5923" w:rsidP="005F5923">
      <w:pPr>
        <w:rPr>
          <w:sz w:val="20"/>
          <w:szCs w:val="20"/>
        </w:rPr>
      </w:pPr>
      <w:r w:rsidRPr="005F5923">
        <w:rPr>
          <w:sz w:val="20"/>
          <w:szCs w:val="20"/>
        </w:rPr>
        <w:t xml:space="preserve"> </w:t>
      </w:r>
      <w:r w:rsidR="009D2DDF">
        <w:rPr>
          <w:sz w:val="20"/>
          <w:szCs w:val="20"/>
        </w:rPr>
        <w:t>Except as otherwise provided in this endorsement all limits, terms, conditions, provisions, definitions and exclusions of the Policy shall have full force and effect.</w:t>
      </w:r>
    </w:p>
    <w:p w:rsidR="009D2DDF" w:rsidRDefault="009D2DDF" w:rsidP="005F5923">
      <w:pPr>
        <w:rPr>
          <w:sz w:val="20"/>
          <w:szCs w:val="20"/>
        </w:rPr>
      </w:pPr>
      <w:r>
        <w:rPr>
          <w:sz w:val="20"/>
          <w:szCs w:val="20"/>
        </w:rPr>
        <w:t xml:space="preserve">Attached to and forming part of Policy #: </w:t>
      </w: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D2DDF" w:rsidRPr="005F5923" w:rsidRDefault="009D2DDF" w:rsidP="005F5923">
      <w:pPr>
        <w:rPr>
          <w:sz w:val="20"/>
          <w:szCs w:val="20"/>
        </w:rPr>
      </w:pPr>
      <w:r>
        <w:rPr>
          <w:sz w:val="20"/>
          <w:szCs w:val="20"/>
        </w:rPr>
        <w:t xml:space="preserve">This endorsement shall be effective from: </w:t>
      </w: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sectPr w:rsidR="009D2DDF" w:rsidRPr="005F5923" w:rsidSect="0086250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64" w:rsidRDefault="00463A64" w:rsidP="00463A64">
      <w:pPr>
        <w:spacing w:after="0" w:line="240" w:lineRule="auto"/>
      </w:pPr>
      <w:r>
        <w:separator/>
      </w:r>
    </w:p>
  </w:endnote>
  <w:endnote w:type="continuationSeparator" w:id="0">
    <w:p w:rsidR="00463A64" w:rsidRDefault="00463A64" w:rsidP="00463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64" w:rsidRDefault="00463A64">
    <w:pPr>
      <w:pStyle w:val="Footer"/>
    </w:pPr>
    <w:r w:rsidRPr="00463A64">
      <w:drawing>
        <wp:anchor distT="0" distB="0" distL="114300" distR="114300" simplePos="0" relativeHeight="251659264" behindDoc="1" locked="0" layoutInCell="1" allowOverlap="1">
          <wp:simplePos x="0" y="0"/>
          <wp:positionH relativeFrom="column">
            <wp:posOffset>-542925</wp:posOffset>
          </wp:positionH>
          <wp:positionV relativeFrom="paragraph">
            <wp:posOffset>-103505</wp:posOffset>
          </wp:positionV>
          <wp:extent cx="7172325" cy="657225"/>
          <wp:effectExtent l="19050" t="0" r="9525" b="0"/>
          <wp:wrapTight wrapText="bothSides">
            <wp:wrapPolygon edited="0">
              <wp:start x="-57" y="0"/>
              <wp:lineTo x="-57" y="21287"/>
              <wp:lineTo x="21629" y="21287"/>
              <wp:lineTo x="21629" y="0"/>
              <wp:lineTo x="-57" y="0"/>
            </wp:wrapPolygon>
          </wp:wrapTight>
          <wp:docPr id="10"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1"/>
                  <a:srcRect/>
                  <a:stretch>
                    <a:fillRect/>
                  </a:stretch>
                </pic:blipFill>
                <pic:spPr bwMode="auto">
                  <a:xfrm>
                    <a:off x="0" y="0"/>
                    <a:ext cx="7172325" cy="6572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64" w:rsidRDefault="00463A64" w:rsidP="00463A64">
      <w:pPr>
        <w:spacing w:after="0" w:line="240" w:lineRule="auto"/>
      </w:pPr>
      <w:r>
        <w:separator/>
      </w:r>
    </w:p>
  </w:footnote>
  <w:footnote w:type="continuationSeparator" w:id="0">
    <w:p w:rsidR="00463A64" w:rsidRDefault="00463A64" w:rsidP="00463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64" w:rsidRDefault="00463A64">
    <w:pPr>
      <w:pStyle w:val="Header"/>
    </w:pPr>
    <w:r w:rsidRPr="00463A64">
      <w:drawing>
        <wp:inline distT="0" distB="0" distL="0" distR="0">
          <wp:extent cx="5943600" cy="582567"/>
          <wp:effectExtent l="19050" t="0" r="0" b="0"/>
          <wp:docPr id="9"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p>
  <w:p w:rsidR="00463A64" w:rsidRDefault="00463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C85"/>
    <w:multiLevelType w:val="hybridMultilevel"/>
    <w:tmpl w:val="FE1E6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ElRLArq8xpMSqt5EeKfXrbGsMmo=" w:salt="uI1w5LBZv+hdbJ/L0t4uHw=="/>
  <w:defaultTabStop w:val="720"/>
  <w:characterSpacingControl w:val="doNotCompress"/>
  <w:footnotePr>
    <w:footnote w:id="-1"/>
    <w:footnote w:id="0"/>
  </w:footnotePr>
  <w:endnotePr>
    <w:endnote w:id="-1"/>
    <w:endnote w:id="0"/>
  </w:endnotePr>
  <w:compat/>
  <w:rsids>
    <w:rsidRoot w:val="00463A64"/>
    <w:rsid w:val="00463A64"/>
    <w:rsid w:val="00474512"/>
    <w:rsid w:val="00576C3A"/>
    <w:rsid w:val="005F5923"/>
    <w:rsid w:val="005F6D38"/>
    <w:rsid w:val="00742D78"/>
    <w:rsid w:val="00862505"/>
    <w:rsid w:val="00864FC0"/>
    <w:rsid w:val="009D2DDF"/>
    <w:rsid w:val="009F160B"/>
    <w:rsid w:val="00CF3F38"/>
    <w:rsid w:val="00F503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64"/>
  </w:style>
  <w:style w:type="paragraph" w:styleId="Footer">
    <w:name w:val="footer"/>
    <w:basedOn w:val="Normal"/>
    <w:link w:val="FooterChar"/>
    <w:uiPriority w:val="99"/>
    <w:semiHidden/>
    <w:unhideWhenUsed/>
    <w:rsid w:val="00463A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A64"/>
  </w:style>
  <w:style w:type="paragraph" w:styleId="BalloonText">
    <w:name w:val="Balloon Text"/>
    <w:basedOn w:val="Normal"/>
    <w:link w:val="BalloonTextChar"/>
    <w:uiPriority w:val="99"/>
    <w:semiHidden/>
    <w:unhideWhenUsed/>
    <w:rsid w:val="0046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64"/>
    <w:rPr>
      <w:rFonts w:ascii="Tahoma" w:hAnsi="Tahoma" w:cs="Tahoma"/>
      <w:sz w:val="16"/>
      <w:szCs w:val="16"/>
    </w:rPr>
  </w:style>
  <w:style w:type="paragraph" w:styleId="ListParagraph">
    <w:name w:val="List Paragraph"/>
    <w:basedOn w:val="Normal"/>
    <w:uiPriority w:val="34"/>
    <w:qFormat/>
    <w:rsid w:val="00F503C1"/>
    <w:pPr>
      <w:ind w:left="720"/>
      <w:contextualSpacing/>
    </w:pPr>
  </w:style>
  <w:style w:type="table" w:styleId="TableGrid">
    <w:name w:val="Table Grid"/>
    <w:basedOn w:val="TableNormal"/>
    <w:uiPriority w:val="59"/>
    <w:rsid w:val="0057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2</cp:revision>
  <dcterms:created xsi:type="dcterms:W3CDTF">2017-03-01T15:57:00Z</dcterms:created>
  <dcterms:modified xsi:type="dcterms:W3CDTF">2017-03-01T18:18:00Z</dcterms:modified>
</cp:coreProperties>
</file>